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 con OpenAPI (para otras apps)</w:t>
        </w:r>
      </w:hyperlink>
    </w:p>
    <w:p>
      <w:pPr>
        <w:spacing w:after="20" w:before="160"/>
        <w:ind w:left="0"/>
      </w:pPr>
      <w:hyperlink w:history="1" w:anchor="_h34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9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42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43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50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51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52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53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54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6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9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60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61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66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67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8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9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70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gráfico por estado, carga por persona,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xrvtatr2z7na1mnjh6dmv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4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2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 con OpenAPI (para otras apps)</w:t>
      </w:r>
      <w:bookmarkEnd w:id="29"/>
    </w:p>
    <w:p>
      <w:r>
        <w:t xml:space="preserve">Los mismos casos de uso que GraphQL, como API REST documentada con OpenAPI 3.0, para que otras apps de la plataforma la consuman o generen un cliente. Son otro adaptador de entrada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presenters/http</w:t>
      </w:r>
      <w:r>
        <w:t xml:space="preserve">) que llama a los mismos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: misma validación, permisos y errores.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7"/>
        <w:gridCol w:w="7511"/>
      </w:tblGrid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Swagger UI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 (con «Authorize» contra Pireon)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Documento OpenAPI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  <w:r>
              <w:t xml:space="preserve"> (y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/api/docs-yaml</w:t>
            </w:r>
            <w:r>
              <w:t xml:space="preserve">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Fichero exportado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  <w:r>
              <w:t xml:space="preserve">: lo reescribe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api</w:t>
            </w:r>
            <w:r>
              <w:t xml:space="preserve"> al arrancar, como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schema.gql</w:t>
            </w:r>
          </w:p>
        </w:tc>
      </w:tr>
    </w:tbl>
    <w:p>
      <w:pPr>
        <w:spacing w:after="60"/>
      </w:pPr>
    </w:p>
    <w:p>
      <w:pPr>
        <w:pStyle w:val="Heading3"/>
      </w:pPr>
      <w:bookmarkStart w:name="_h30" w:id="30"/>
      <w:r>
        <w:t xml:space="preserve">Autenticación: siempre a través de Pireon</w:t>
      </w:r>
      <w:bookmarkEnd w:id="30"/>
    </w:p>
    <w:p>
      <w:r>
        <w:t xml:space="preserve">Cualquier app o usuario que la consuma pasa por el OAuth de Pireon: todas las rutas,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health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</w:t>
      </w:r>
      <w:r>
        <w:t xml:space="preserve"> y el webhook, exigen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igual que en GraphQL). El documento declara dos esquemas: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pireon-oauth</w:t>
      </w:r>
      <w:r>
        <w:t xml:space="preserve"> (OAuth2): </w:t>
      </w:r>
      <w:r>
        <w:rPr>
          <w:i/>
          <w:iCs/>
        </w:rPr>
        <w:t xml:space="preserve">Authorization Code + PKCE</w:t>
      </w:r>
      <w:r>
        <w:t xml:space="preserve"> contra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oauth.pireon.dev/oauth/authorize</w:t>
      </w:r>
      <w:r>
        <w:t xml:space="preserve"> y, si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PIREON_PASSWORD_GRANT=true</w:t>
      </w:r>
      <w:r>
        <w:t xml:space="preserve">, </w:t>
      </w:r>
      <w:r>
        <w:rPr>
          <w:i/>
          <w:iCs/>
        </w:rPr>
        <w:t xml:space="preserve">password</w:t>
      </w:r>
      <w:r>
        <w:t xml:space="preserve">. El intercambio de tokens va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(Pireon no tiene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se queda en el servidor). Para usar «Authorize» en Swagger UI, 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&lt;api&gt;/api/docs/oauth2-redirect.html</w:t>
      </w:r>
      <w:r>
        <w:t xml:space="preserve"> como redirect URI del cliente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</w:t>
      </w:r>
      <w:r>
        <w:t xml:space="preserve"> (Bearer): para una app que ya tiene un token de Pireon, por ejemplo con su propio cliente OAuth.</w:t>
      </w:r>
    </w:p>
    <w:p>
      <w:pPr>
        <w:spacing w:after="60"/>
      </w:pPr>
    </w:p>
    <w:p>
      <w:r>
        <w:t xml:space="preserve">Lo que cada usuario puede ver o cambiar depende de su rol en cada proyecto, como en la web.</w:t>
      </w:r>
    </w:p>
    <w:p>
      <w:pPr>
        <w:pStyle w:val="Heading3"/>
      </w:pPr>
      <w:bookmarkStart w:name="_h31" w:id="31"/>
      <w:r>
        <w:t xml:space="preserve">Recursos</w:t>
      </w:r>
      <w:bookmarkEnd w:id="31"/>
    </w:p>
    <w:p>
      <w:r>
        <w:t xml:space="preserve">Proyectos y tickets se pueden indicar por </w:t>
      </w:r>
      <w:r>
        <w:rPr>
          <w:b/>
          <w:bCs/>
        </w:rPr>
        <w:t xml:space="preserve">id o por clave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Recurso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/api/users/me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/api/users?search=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/api/users/{id}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/api/projects/{project}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…/board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…/activity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…/members</w:t>
            </w:r>
            <w:r>
              <w:t xml:space="preserve"> (POST, PATCH, DELETE)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/api/issues/{issue}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…/assignee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POST/DELETE …/links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…/comments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…/history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PATCH/DELETE /api/comments/{commentId}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/api/projects/{project}/releases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/api/releases/{id}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…/publish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…/archive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Sistema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</w:tr>
    </w:tbl>
    <w:p>
      <w:pPr>
        <w:spacing w:after="60"/>
      </w:pPr>
    </w:p>
    <w:p>
      <w:r>
        <w:t xml:space="preserve">Las escrituras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id, key?, version }</w:t>
      </w:r>
      <w:r>
        <w:t xml:space="preserve"> en cuanto el evento se guarda; las lecturas salen del read model, que se pone al día en milisegundos (un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</w:t>
      </w:r>
      <w:r>
        <w:t xml:space="preserve"> justo después puede devolver la versión anterior, o 404 tras crear). Para tiempo real, las subscriptions de GraphQL.</w:t>
      </w:r>
    </w:p>
    <w:p>
      <w:pPr>
        <w:pStyle w:val="Heading3"/>
      </w:pPr>
      <w:bookmarkStart w:name="_h32" w:id="32"/>
      <w:r>
        <w:t xml:space="preserve">Errores</w:t>
      </w:r>
      <w:bookmarkEnd w:id="32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statusCode, code?, message }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400</w:t>
      </w:r>
      <w:r>
        <w:t xml:space="preserve"> entrada no válida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message</w:t>
      </w:r>
      <w:r>
        <w:t xml:space="preserve"> es una lista),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401</w:t>
      </w:r>
      <w:r>
        <w:t xml:space="preserve"> sin token o token rechazado por Pireon,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403</w:t>
      </w:r>
      <w:r>
        <w:t xml:space="preserve">/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</w:t>
      </w:r>
      <w:r>
        <w:t xml:space="preserve"> sin acceso,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409</w:t>
      </w:r>
      <w:r>
        <w:t xml:space="preserve"> cambio concurrente (reintentar)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422</w:t>
      </w:r>
      <w:r>
        <w:t xml:space="preserve"> regla de negocio (p. ej. una transición que el workflow no permite).</w:t>
      </w:r>
    </w:p>
    <w:p>
      <w:pPr>
        <w:pStyle w:val="Heading3"/>
      </w:pPr>
      <w:bookmarkStart w:name="_h33" w:id="33"/>
      <w:r>
        <w:t xml:space="preserve">Generar un cliente en otra app</w:t>
      </w:r>
      <w:bookmarkEnd w:id="33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openapi-typescript apps/api/openapi.json -o src/task-stream-api.d.ts      # tipos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o un cliente completo: openapi-generator, orval, ng-openapi-gen…</w:t>
      </w:r>
    </w:p>
    <w:p>
      <w:pPr>
        <w:spacing w:after="60"/>
      </w:pPr>
    </w:p>
    <w:p>
      <w:r>
        <w:t xml:space="preserve">Ver también </w:t>
      </w:r>
      <w:hyperlink w:history="1" w:anchor="_h43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4" w:id="34"/>
      <w:r>
        <w:t xml:space="preserve">4. Cliente web</w:t>
      </w:r>
      <w:bookmarkEnd w:id="34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5" w:id="35"/>
      <w:r>
        <w:t xml:space="preserve">4.1 Librerías</w:t>
      </w:r>
      <w:bookmarkEnd w:id="3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6" w:id="36"/>
      <w:r>
        <w:t xml:space="preserve">4.2 Estado: NgRx Signals con eventos</w:t>
      </w:r>
      <w:bookmarkEnd w:id="36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7" w:id="37"/>
      <w:r>
        <w:t xml:space="preserve">Facades</w:t>
      </w:r>
      <w:bookmarkEnd w:id="37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8" w:id="38"/>
      <w:r>
        <w:t xml:space="preserve">Tiempo real y consistencia</w:t>
      </w:r>
      <w:bookmarkEnd w:id="38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9" w:id="39"/>
      <w:r>
        <w:t xml:space="preserve">4.3 GraphQL</w:t>
      </w:r>
      <w:bookmarkEnd w:id="39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40" w:id="40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40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41" w:id="41"/>
      <w:r>
        <w:t xml:space="preserve">4.5 Diseño</w:t>
      </w:r>
      <w:bookmarkEnd w:id="41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42" w:id="42"/>
      <w:r>
        <w:t xml:space="preserve">4.6 Rutas</w:t>
      </w:r>
      <w:bookmarkEnd w:id="4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2"/>
        <w:gridCol w:w="6286"/>
      </w:tblGrid>
      <w:tr>
        <w:trPr>
          <w:tblHeader/>
        </w:trP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filtra por release)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43" w:id="43"/>
      <w:r>
        <w:t xml:space="preserve">5. Autenticación (Pireon)</w:t>
      </w:r>
      <w:bookmarkEnd w:id="43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4" w:id="44"/>
      <w:r>
        <w:t xml:space="preserve">5.1 Cómo valida la API un token</w:t>
      </w:r>
      <w:bookmarkEnd w:id="44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5" w:id="45"/>
      <w:r>
        <w:t xml:space="preserve">5.2 Iniciar sesión desde el navegador</w:t>
      </w:r>
      <w:bookmarkEnd w:id="45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p>
      <w:r>
        <w:t xml:space="preserve">Cada cliente OAuth de Pireon admite </w:t>
      </w:r>
      <w:r>
        <w:rPr>
          <w:b/>
          <w:bCs/>
        </w:rPr>
        <w:t xml:space="preserve">un único tipo de grant</w:t>
      </w:r>
      <w:r>
        <w:t xml:space="preserve">, así que cada forma de entrar usa su cliente: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70"/>
        <w:gridCol w:w="1513"/>
        <w:gridCol w:w="2825"/>
        <w:gridCol w:w="3030"/>
      </w:tblGrid>
      <w:tr>
        <w:trPr>
          <w:tblHeader/>
        </w:trP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Cliente de Pireon (</w:t>
            </w:r>
            <w:r>
              <w:rPr>
                <w:rFonts w:ascii="Consolas" w:cs="Consolas" w:eastAsia="Consolas" w:hAnsi="Consolas"/>
                <w:b/>
                <w:bCs/>
                <w:color w:val="FFFFFF"/>
                <w:sz w:val="18"/>
                <w:szCs w:val="18"/>
                <w:shd w:fill="F3E8FD" w:color="auto" w:val="clear"/>
              </w:rPr>
              <w:t xml:space="preserve">grant_type</w:t>
            </w:r>
            <w:r>
              <w:rPr>
                <w:b/>
                <w:bCs/>
                <w:color w:val="FFFFFF"/>
              </w:rPr>
              <w:t xml:space="preserve">)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Variables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PIREON_PASSWORD_CLIENT_SECRET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); se desactiva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PIREON_PASSWORD_GRANT=false</w:t>
            </w:r>
          </w:p>
        </w:tc>
      </w:tr>
    </w:tbl>
    <w:p>
      <w:pPr>
        <w:spacing w:after="60"/>
      </w:pPr>
    </w:p>
    <w:p>
      <w:r>
        <w:t xml:space="preserve">Si no se definen las variables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PIREON_PASSWORD_CLIENT_*</w:t>
      </w:r>
      <w:r>
        <w:t xml:space="preserve">, el login con contraseña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(sirve si solo hay un cliente de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</w:t>
      </w:r>
      <w:r>
        <w:t xml:space="preserve">, pero entonces «Entrar con Pireon»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unauthorized_client</w:t>
      </w:r>
      <w:r>
        <w:t xml:space="preserve">). Al renovar la sesión, la API prueba los dos clientes: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 solo vale con el cliente que lo emitió.</w:t>
      </w:r>
    </w:p>
    <w:p>
      <w:r>
        <w:t xml:space="preserve">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6" w:id="46"/>
      <w:r>
        <w:t xml:space="preserve">Registrar TaskStream como cliente en Pireon</w:t>
      </w:r>
      <w:bookmarkEnd w:id="46"/>
    </w:p>
    <w:p>
      <w:r>
        <w:t xml:space="preserve">Con un token tuyo de Pireon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Cliente para «Entrar con Pireon»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{"name": "TaskStream", "grant_type": "authorization_code", "confidential": true, "redirect_uris": [...]}</w:t>
      </w:r>
      <w:r>
        <w:t xml:space="preserve"> con estas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https://taskstream.pireon.dev/auth/callback</w:t>
      </w:r>
      <w:r>
        <w:t xml:space="preserve"> (producción)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para el «Authorize» de Swagger UI: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http://localhost:3000/api/docs/oauth2-redirect.html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https://api.taskstream.pireon.dev/api/docs/oauth2-redirect.html</w:t>
      </w:r>
      <w:r>
        <w:t xml:space="preserve"> (ver </w:t>
      </w:r>
      <w:hyperlink w:history="1" w:anchor="_h29">
        <w:r>
          <w:rPr>
            <w:color w:val="7B2FBF"/>
            <w:u w:val="single"/>
          </w:rPr>
          <w:t xml:space="preserve">API REST</w:t>
        </w:r>
      </w:hyperlink>
      <w:r>
        <w:t xml:space="preserve">)</w:t>
      </w:r>
    </w:p>
    <w:p>
      <w:pPr>
        <w:spacing w:after="60"/>
        <w:ind w:left="720"/>
      </w:pPr>
      <w:r>
        <w:t xml:space="preserve">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. Al ser confidencial, </w:t>
      </w:r>
      <w:r>
        <w:rPr>
          <w:b/>
          <w:bCs/>
        </w:rPr>
        <w:t xml:space="preserve">el secret es obligatorio</w:t>
      </w:r>
      <w:r>
        <w:t xml:space="preserve">: sin él Pireon rechaza el canje del código (ver la tabla de errores más abajo).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Cliente para email y contraseña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{"name": "TaskStream (password)", "grant_type": "password"}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PIREON_PASSWORD_CLIENT_SECRET</w:t>
      </w:r>
      <w:r>
        <w:t xml:space="preserve">.</w:t>
      </w:r>
    </w:p>
    <w:p>
      <w:pPr>
        <w:spacing w:after="60"/>
      </w:pPr>
    </w:p>
    <w:p>
      <w:r>
        <w:t xml:space="preserve">Pireon muestra el secret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plain_secret</w:t>
      </w:r>
      <w:r>
        <w:t xml:space="preserve">) </w:t>
      </w:r>
      <w:r>
        <w:rPr>
          <w:b/>
          <w:bCs/>
        </w:rPr>
        <w:t xml:space="preserve">una sola vez</w:t>
      </w:r>
      <w:r>
        <w:t xml:space="preserve">, en la respuesta de alta. Si se pierde, se genera otro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https://oauth.pireon.dev/api/clients/{client}/rotate-secret</w:t>
      </w:r>
      <w:r>
        <w:t xml:space="preserve"> (el anterior sigue valiendo 48 h).</w:t>
      </w:r>
    </w:p>
    <w:p>
      <w:r>
        <w:t xml:space="preserve">Ponlos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contenedor; en Dokploy, en </w:t>
      </w:r>
      <w:r>
        <w:rPr>
          <w:i/>
          <w:iCs/>
        </w:rPr>
        <w:t xml:space="preserve">Environment</w:t>
      </w:r>
      <w:r>
        <w:t xml:space="preserve">) y reinicia la API; en Docker/Dokploy, </w:t>
      </w:r>
      <w:r>
        <w:rPr>
          <w:b/>
          <w:bCs/>
        </w:rPr>
        <w:t xml:space="preserve">recrea</w:t>
      </w:r>
      <w:r>
        <w:t xml:space="preserve"> el contenedor (redesplegar), porque un reinicio no relee el entorno.</w:t>
      </w:r>
    </w:p>
    <w:p>
      <w:r>
        <w:t xml:space="preserve">En producción: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"/>
        <w:gridCol w:w="3087"/>
        <w:gridCol w:w="5616"/>
      </w:tblGrid>
      <w:tr>
        <w:trPr>
          <w:tblHeader/>
        </w:trPr>
        <w:tc>
          <w:tcPr>
            <w:tcW w:type="dxa" w:w="93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308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URL</w:t>
            </w:r>
          </w:p>
        </w:tc>
        <w:tc>
          <w:tcPr>
            <w:tcW w:type="dxa" w:w="56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Redirect URIs registradas en el cliente </w:t>
            </w:r>
            <w:r>
              <w:rPr>
                <w:rFonts w:ascii="Consolas" w:cs="Consolas" w:eastAsia="Consolas" w:hAnsi="Consolas"/>
                <w:b/>
                <w:bCs/>
                <w:color w:val="FFFFFF"/>
                <w:sz w:val="18"/>
                <w:szCs w:val="18"/>
                <w:shd w:fill="F3E8FD" w:color="auto" w:val="clear"/>
              </w:rPr>
              <w:t xml:space="preserve">authorization_code</w:t>
            </w:r>
          </w:p>
        </w:tc>
      </w:tr>
      <w:tr>
        <w:tc>
          <w:tcPr>
            <w:tcW w:type="dxa" w:w="93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</w:t>
            </w:r>
          </w:p>
        </w:tc>
        <w:tc>
          <w:tcPr>
            <w:tcW w:type="dxa" w:w="308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https://taskstream.pireon.dev</w:t>
            </w:r>
          </w:p>
        </w:tc>
        <w:tc>
          <w:tcPr>
            <w:tcW w:type="dxa" w:w="56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https://taskstream.pireon.dev/auth/callback</w:t>
            </w:r>
          </w:p>
        </w:tc>
      </w:tr>
      <w:tr>
        <w:tc>
          <w:tcPr>
            <w:tcW w:type="dxa" w:w="93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(REST)</w:t>
            </w:r>
          </w:p>
        </w:tc>
        <w:tc>
          <w:tcPr>
            <w:tcW w:type="dxa" w:w="308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https://api.taskstream.pireon.dev</w:t>
            </w:r>
          </w:p>
        </w:tc>
        <w:tc>
          <w:tcPr>
            <w:tcW w:type="dxa" w:w="56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https://api.taskstream.pireon.dev/api/docs/oauth2-redirect.html</w:t>
            </w:r>
          </w:p>
        </w:tc>
      </w:tr>
    </w:tbl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le dice a la web qué formas de entrar hay: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 del cliente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authorization_code</w:t>
      </w:r>
      <w:r>
        <w:t xml:space="preserve"> (o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: la web oculta «Entrar con Pireon»)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. Devuelve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ningún cliente; en ese caso el login muestra el aviso y no deja entrar.</w:t>
      </w:r>
    </w:p>
    <w:p>
      <w:pPr>
        <w:pStyle w:val="Heading3"/>
      </w:pPr>
      <w:bookmarkStart w:name="_h47" w:id="47"/>
      <w:r>
        <w:t xml:space="preserve">Si el login falla</w:t>
      </w:r>
      <w:bookmarkEnd w:id="47"/>
    </w:p>
    <w:p>
      <w:r>
        <w:t xml:space="preserve">La API reenvía el error de Pireon con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hint</w:t>
      </w:r>
      <w:r>
        <w:t xml:space="preserve"> entre paréntesis (lo que de verdad falla) y lo registra en su log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 rejected &lt;grant&gt; for client &lt;id&gt;: … (hint: …)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Error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Solución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login dice «Inicio de sesión no configurado»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  <w:r>
              <w:t xml:space="preserve"> devuelve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: no hay ningún cliente en el entorno de la API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Define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y/o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 (con sus secrets) y recrea el contenedor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unauthorized_client</w:t>
            </w:r>
            <w:r>
              <w:t xml:space="preserve">: </w:t>
            </w:r>
            <w:r>
              <w:rPr>
                <w:i/>
                <w:iCs/>
              </w:rPr>
              <w:t xml:space="preserve">not authorized to use this authorization grant type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cliente no es del tipo que pide el flujo (p. ej. uno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)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cliente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y uno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invalid_request</w:t>
            </w:r>
            <w:r>
              <w:t xml:space="preserve"> … </w:t>
            </w:r>
            <w:r>
              <w:rPr>
                <w:i/>
                <w:iCs/>
              </w:rPr>
              <w:t xml:space="preserve">(Check the </w:t>
            </w:r>
            <w:r>
              <w:rPr>
                <w:rFonts w:ascii="Consolas" w:cs="Consolas" w:eastAsia="Consolas" w:hAnsi="Consolas"/>
                <w:i/>
                <w:iCs/>
                <w:color w:val="7B2FBF"/>
                <w:sz w:val="18"/>
                <w:szCs w:val="18"/>
                <w:shd w:fill="F3E8FD" w:color="auto" w:val="clear"/>
              </w:rPr>
              <w:t xml:space="preserve">client_secret</w:t>
            </w:r>
            <w:r>
              <w:rPr>
                <w:i/>
                <w:iCs/>
              </w:rPr>
              <w:t xml:space="preserve"> parameter)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cliente es confidencial y la API no envía secret: la variable está vacía o no llega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Pon el secret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PIREON_PASSWORD_CLIENT_SECRET</w:t>
            </w:r>
            <w:r>
              <w:t xml:space="preserve">) y redespliega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invalid_client</w:t>
            </w:r>
            <w:r>
              <w:t xml:space="preserve">: </w:t>
            </w:r>
            <w:r>
              <w:rPr>
                <w:i/>
                <w:iCs/>
              </w:rPr>
              <w:t xml:space="preserve">Client authentication failed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secret llega pero no es el de ese cliente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Revisa que id y secret sean del mismo cliente; si no lo tienes, rótalo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invalid_request</w:t>
            </w:r>
            <w:r>
              <w:t xml:space="preserve"> … </w:t>
            </w:r>
            <w:r>
              <w:rPr>
                <w:i/>
                <w:iCs/>
              </w:rPr>
              <w:t xml:space="preserve">(Invalid redirect URI)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redirect URI del canje no es la de la autorización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Regístrala exactamente igual en el cliente (esquema, dominio y ruta, sin barra final)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invalid_grant</w:t>
            </w:r>
            <w:r>
              <w:t xml:space="preserve">: </w:t>
            </w:r>
            <w:r>
              <w:rPr>
                <w:i/>
                <w:iCs/>
              </w:rPr>
              <w:t xml:space="preserve">Authorization code has expired / has been revoked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código caducó o ya se usó (p. ej. al recargar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)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Vuelve a «Entrar con Pireon»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The user credentials were incorrect.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Email o contraseña de Pireon incorrectos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Errores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404 Cannot GET/POST /api/…</w:t>
            </w:r>
            <w:r>
              <w:t xml:space="preserve"> intermitentes a través de la web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  <w:r>
              <w:t xml:space="preserve"> en la red compartida de Dokploy recibe parte de las peticiones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Ya resuelto con alias únicos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…), ver </w:t>
            </w:r>
            <w:hyperlink w:history="1" w:anchor="_h63">
              <w:r>
                <w:rPr>
                  <w:color w:val="7B2FBF"/>
                  <w:u w:val="single"/>
                </w:rPr>
                <w:t xml:space="preserve">Despliegue</w:t>
              </w:r>
            </w:hyperlink>
          </w:p>
        </w:tc>
      </w:tr>
    </w:tbl>
    <w:p>
      <w:pPr>
        <w:spacing w:after="60"/>
      </w:pPr>
    </w:p>
    <w:p>
      <w:pPr>
        <w:pStyle w:val="Heading3"/>
      </w:pPr>
      <w:bookmarkStart w:name="_h48" w:id="48"/>
      <w:r>
        <w:t xml:space="preserve">Sesión en la web</w:t>
      </w:r>
      <w:bookmarkEnd w:id="48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9" w:id="49"/>
      <w:r>
        <w:t xml:space="preserve">5.3 Webhooks de Pireon (opcional)</w:t>
      </w:r>
      <w:bookmarkEnd w:id="49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50" w:id="50"/>
      <w:r>
        <w:t xml:space="preserve">5.4 Usuarios en TaskStream</w:t>
      </w:r>
      <w:bookmarkEnd w:id="50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51" w:id="51"/>
      <w:r>
        <w:t xml:space="preserve">6. Desarrollo</w:t>
      </w:r>
      <w:bookmarkEnd w:id="51"/>
    </w:p>
    <w:p>
      <w:pPr>
        <w:pStyle w:val="Heading2"/>
      </w:pPr>
      <w:bookmarkStart w:name="_h52" w:id="52"/>
      <w:r>
        <w:t xml:space="preserve">6.1 Requisitos</w:t>
      </w:r>
      <w:bookmarkEnd w:id="52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53" w:id="53"/>
      <w:r>
        <w:t xml:space="preserve">6.2 Puesta en marcha</w:t>
      </w:r>
      <w:bookmarkEnd w:id="53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54" w:id="54"/>
      <w:r>
        <w:t xml:space="preserve">6.3 Comandos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5" w:id="55"/>
      <w:r>
        <w:t xml:space="preserve">Tests</w:t>
      </w:r>
      <w:bookmarkEnd w:id="5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6" w:id="56"/>
      <w:r>
        <w:t xml:space="preserve">6.4 Cómo añadir una funcionalidad</w:t>
      </w:r>
      <w:bookmarkEnd w:id="56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7" w:id="57"/>
      <w:r>
        <w:t xml:space="preserve">API</w:t>
      </w:r>
      <w:bookmarkEnd w:id="57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8" w:id="58"/>
      <w:r>
        <w:t xml:space="preserve">Web</w:t>
      </w:r>
      <w:bookmarkEnd w:id="58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9" w:id="59"/>
      <w:r>
        <w:t xml:space="preserve">6.5 Problemas conocidos</w:t>
      </w:r>
      <w:bookmarkEnd w:id="5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al construir con Docker)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failed to stat /root/.npmrc</w:t>
            </w:r>
            <w:r>
              <w:t xml:space="preserve"> al desplegar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Versión antigua del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docker-compose.yml</w:t>
            </w:r>
            <w:r>
              <w:t xml:space="preserve">: ahora el token llega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(ver </w:t>
            </w:r>
            <w:hyperlink w:history="1" w:anchor="_h60">
              <w:r>
                <w:rPr>
                  <w:color w:val="7B2FBF"/>
                  <w:u w:val="single"/>
                </w:rPr>
                <w:t xml:space="preserve">Despliegue</w:t>
              </w:r>
            </w:hyperlink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login con Pireon falla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unauthorized_client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client_secret</w:t>
            </w:r>
            <w:r>
              <w:t xml:space="preserve">…)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Configuración de los clientes OAuth: ver </w:t>
            </w:r>
            <w:hyperlink w:history="1" w:anchor="_h47">
              <w:r>
                <w:rPr>
                  <w:color w:val="7B2FBF"/>
                  <w:u w:val="single"/>
                </w:rPr>
                <w:t xml:space="preserve">Si el login falla</w:t>
              </w:r>
            </w:hyperlink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60" w:id="60"/>
      <w:r>
        <w:t xml:space="preserve">7. Despliegue</w:t>
      </w:r>
      <w:bookmarkEnd w:id="60"/>
    </w:p>
    <w:p>
      <w:pPr>
        <w:pStyle w:val="Heading2"/>
      </w:pPr>
      <w:bookmarkStart w:name="_h61" w:id="61"/>
      <w:r>
        <w:t xml:space="preserve">7.1 Docker</w:t>
      </w:r>
      <w:bookmarkEnd w:id="61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3"/>
        <w:gridCol w:w="2231"/>
        <w:gridCol w:w="1338"/>
        <w:gridCol w:w="5356"/>
      </w:tblGrid>
      <w:tr>
        <w:trPr>
          <w:tblHeader/>
        </w:trP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 en local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pPr>
        <w:pStyle w:val="Heading3"/>
      </w:pPr>
      <w:bookmarkStart w:name="_h62" w:id="62"/>
      <w:r>
        <w:t xml:space="preserve">Producción y desarrollo</w:t>
      </w:r>
      <w:bookmarkEnd w:id="62"/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 es la definición de producción (la que despliega Dokploy) y </w:t>
      </w:r>
      <w:r>
        <w:rPr>
          <w:b/>
          <w:bCs/>
        </w:rPr>
        <w:t xml:space="preserve">no publica puertos</w:t>
      </w:r>
      <w:r>
        <w:t xml:space="preserve">: los servicios solo se ven entre sí por la red de Compose. Hacia fuera solo sale la web, por el proxy de la plataforma (en Dokploy: dominio → servicio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80</w:t>
      </w:r>
      <w:r>
        <w:t xml:space="preserve">).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declaran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expose</w:t>
      </w:r>
      <w:r>
        <w:t xml:space="preserve"> para documentarlo.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docker-compose.override.yml</w:t>
      </w:r>
      <w:r>
        <w:t xml:space="preserve"> publica los puertos de la tabla. Compose lo carga solo cuando se ejecuta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</w:t>
      </w:r>
      <w:r>
        <w:t xml:space="preserve">, es decir, en local; Dokploy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 docker-compose.yml</w:t>
      </w:r>
      <w:r>
        <w:t xml:space="preserve"> y no lo lee.</w:t>
      </w:r>
    </w:p>
    <w:p>
      <w:pPr>
        <w:spacing w:after="60"/>
      </w:pPr>
    </w:p>
    <w:p>
      <w:r>
        <w:t xml:space="preserve">Para probar en local exactamente lo de producción: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 compose -f docker-compose.yml up -d --build</w:t>
      </w:r>
      <w:r>
        <w:t xml:space="preserve">.</w:t>
      </w:r>
    </w:p>
    <w:p>
      <w:pPr>
        <w:pStyle w:val="Heading3"/>
      </w:pPr>
      <w:bookmarkStart w:name="_h63" w:id="63"/>
      <w:r>
        <w:t xml:space="preserve">Nombres únicos en la red</w:t>
      </w:r>
      <w:bookmarkEnd w:id="63"/>
    </w:p>
    <w:p>
      <w:r>
        <w:t xml:space="preserve">Los servicios se llaman entre sí por </w:t>
      </w:r>
      <w:r>
        <w:rPr>
          <w:b/>
          <w:bCs/>
        </w:rPr>
        <w:t xml:space="preserve">alias únicos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task-stream-postgres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task-stream-mongo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task-stream-redis</w:t>
      </w:r>
      <w:r>
        <w:t xml:space="preserve">), no por el nombre del servicio. Al dar dominio a un servicio, Dokploy lo conecta a la red compartida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dokploy-network</w:t>
      </w:r>
      <w:r>
        <w:t xml:space="preserve">, donde otros proyectos también tienen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</w:t>
      </w:r>
      <w:r>
        <w:t xml:space="preserve"> o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</w:t>
      </w:r>
      <w:r>
        <w:t xml:space="preserve">: con nombres genéricos, el DNS de Docker devuelve también los suyos y nginx reparte las peticiones entre ambos (síntoma: la mitad de las llamadas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/api/*</w:t>
      </w:r>
      <w:r>
        <w:t xml:space="preserve">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 Cannot GET …</w:t>
      </w:r>
      <w:r>
        <w:t xml:space="preserve"> y el login dice «no configurado»). Si añades un servicio, dale su alias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task-stream-*</w:t>
      </w:r>
      <w:r>
        <w:t xml:space="preserve"> y úsalo en las URLs.</w:t>
      </w: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64" w:id="64"/>
      <w:r>
        <w:t xml:space="preserve">Imágenes</w:t>
      </w:r>
      <w:bookmarkEnd w:id="64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llega como </w:t>
      </w:r>
      <w:r>
        <w:rPr>
          <w:b/>
          <w:bCs/>
        </w:rPr>
        <w:t xml:space="preserve">build secret</w:t>
      </w:r>
      <w:r>
        <w:t xml:space="preserve"> desde la variable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secrets.nexus_token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), se escribe 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npmrc</w:t>
      </w:r>
      <w:r>
        <w:t xml:space="preserve"> temporal y se borra en el mismo paso, así que nunca queda en una capa.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la build falla en ese paso.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65" w:id="65"/>
      <w:r>
        <w:t xml:space="preserve">Construir</w:t>
      </w:r>
      <w:bookmarkEnd w:id="65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tiene que estar en el entorno de quien construye, o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junto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Local: reutiliza el token de tu ~/.npmrc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NEXUS_TOKEN=$(grep '^//nexus.pireon.dev/repository/npm-releases/:_authToken=' ~/.npmrc | cut -d= -f2-)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</w:t>
      </w:r>
    </w:p>
    <w:p>
      <w:pPr>
        <w:spacing w:after="60"/>
      </w:pPr>
    </w:p>
    <w:p>
      <w:r>
        <w:t xml:space="preserve">En </w:t>
      </w:r>
      <w:r>
        <w:rPr>
          <w:b/>
          <w:bCs/>
        </w:rPr>
        <w:t xml:space="preserve">Dokploy</w:t>
      </w:r>
      <w:r>
        <w:t xml:space="preserve"> (despliegue con Docker Compose): pestaña </w:t>
      </w:r>
      <w:r>
        <w:rPr>
          <w:i/>
          <w:iCs/>
        </w:rPr>
        <w:t xml:space="preserve">Environment</w:t>
      </w:r>
      <w:r>
        <w:t xml:space="preserve"> del servicio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NEXUS_TOKEN=&lt;token&gt;</w:t>
      </w:r>
      <w:r>
        <w:t xml:space="preserve">, junto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PIREON_PASSWORD_CLIENT_SECRET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 Dokploy los escribe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del proyecto, de donde los lee Compose.</w:t>
      </w:r>
    </w:p>
    <w:p>
      <w:pPr>
        <w:pStyle w:val="Heading2"/>
      </w:pPr>
      <w:bookmarkStart w:name="_h66" w:id="66"/>
      <w:r>
        <w:t xml:space="preserve">7.2 Variables de entorno de la API</w:t>
      </w:r>
      <w:bookmarkEnd w:id="6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: «Entrar con Pireon» y Swagger UI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anterior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: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SWAGGER_ENABLED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REST documentada: Swagger UI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, OpenAPI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OPENAPI_FILE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documento OpenAPI al arrancar (vacío = no escribir; así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67" w:id="67"/>
      <w:r>
        <w:t xml:space="preserve">7.3 Escalado</w:t>
      </w:r>
      <w:bookmarkEnd w:id="67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8" w:id="68"/>
      <w:r>
        <w:t xml:space="preserve">7.4 Antes de producción</w:t>
      </w:r>
      <w:bookmarkEnd w:id="68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9" w:id="69"/>
      <w:r>
        <w:t xml:space="preserve">7.5 Reconstruir el read model</w:t>
      </w:r>
      <w:bookmarkEnd w:id="69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70" w:id="70"/>
      <w:r>
        <w:t xml:space="preserve">8. Decisiones de diseño</w:t>
      </w:r>
      <w:bookmarkEnd w:id="70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71" w:id="71"/>
      <w:r>
        <w:t xml:space="preserve">Arquitectura hexagonal con una librería Nx por capa</w:t>
      </w:r>
      <w:bookmarkEnd w:id="71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72" w:id="72"/>
      <w:r>
        <w:t xml:space="preserve">La misma estructura en API y web</w:t>
      </w:r>
      <w:bookmarkEnd w:id="72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73" w:id="73"/>
      <w:r>
        <w:t xml:space="preserve">Event sourcing en PostgreSQL (y no en MongoDB)</w:t>
      </w:r>
      <w:bookmarkEnd w:id="73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74" w:id="74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74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75" w:id="75"/>
      <w:r>
        <w:t xml:space="preserve">Redis entre escritura y lectura, y un bridge que espera</w:t>
      </w:r>
      <w:bookmarkEnd w:id="75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76" w:id="76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76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77" w:id="77"/>
      <w:r>
        <w:t xml:space="preserve">Lookups fuera de los agregados</w:t>
      </w:r>
      <w:bookmarkEnd w:id="77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8" w:id="78"/>
      <w:r>
        <w:t xml:space="preserve">Reglas críticas contra el event store, no contra Mongo</w:t>
      </w:r>
      <w:bookmarkEnd w:id="78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9" w:id="79"/>
      <w:r>
        <w:t xml:space="preserve">Proxy de tokens en la API</w:t>
      </w:r>
      <w:bookmarkEnd w:id="79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80" w:id="80"/>
      <w:r>
        <w:t xml:space="preserve">Caché de Apollo desactivada en la web</w:t>
      </w:r>
      <w:bookmarkEnd w:id="80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81" w:id="81"/>
      <w:r>
        <w:t xml:space="preserve">Estado web con el plugin de eventos de NgRx Signals</w:t>
      </w:r>
      <w:bookmarkEnd w:id="81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82" w:id="82"/>
      <w:r>
        <w:t xml:space="preserve">Facades delante de los stores</w:t>
      </w:r>
      <w:bookmarkEnd w:id="82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83" w:id="83"/>
      <w:r>
        <w:t xml:space="preserve">Imagen de la API con dependencias propias</w:t>
      </w:r>
      <w:bookmarkEnd w:id="83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84"/>
      <w:r>
        <w:t xml:space="preserve">Anexo A. Librerías</w:t>
      </w:r>
      <w:bookmarkEnd w:id="84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@ApiPireonAuth()</w:t>
      </w:r>
      <w:r>
        <w:t xml:space="preserve"> (esquemas OAuth2 / Bearer de Pireon en OpenAPI).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/api/users/me</w:t>
      </w:r>
      <w:r>
        <w:t xml:space="preserve">, directorio de Pireon)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 Documentados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ApiErrorDto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@ApiReadErrors()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@ApiCommandErrors()</w:t>
      </w:r>
      <w:r>
        <w:t xml:space="preserve">: el formato de error de la API REST en OpenAPI.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y REST (OpenAPI)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controladores REST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ReleasesController</w:t>
      </w:r>
      <w:r>
        <w:t xml:space="preserve"> (mismos services), DTOs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Refs</w:t>
      </w:r>
      <w:r>
        <w:t xml:space="preserve"> (proyectos y tickets por id o clave).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xrvtatr2z7na1mnjh6dmv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2026-10-03T14:00:33.406Z</dcterms:created>
  <dcterms:modified xsi:type="dcterms:W3CDTF">2026-10-03T14:00:33.407Z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