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h100">
        <w:r>
          <w:rPr>
            <w:b/>
            <w:bCs/>
            <w:color w:val="1F1F2E"/>
            <w:sz w:val="24"/>
            <w:szCs w:val="24"/>
          </w:rPr>
          <w:t xml:space="preserve">10. Lo que queda</w:t>
        </w:r>
      </w:hyperlink>
    </w:p>
    <w:p>
      <w:pPr>
        <w:spacing w:after="20" w:before="20"/>
        <w:ind w:left="400"/>
      </w:pPr>
      <w:hyperlink w:history="1" w:anchor="_h101">
        <w:r>
          <w:rPr>
            <w:b w:val="false"/>
            <w:bCs w:val="false"/>
            <w:color w:val="6B6B80"/>
            <w:sz w:val="21"/>
            <w:szCs w:val="21"/>
          </w:rPr>
          <w:t xml:space="preserve">10.1 Para dar el producto por terminado</w:t>
        </w:r>
      </w:hyperlink>
    </w:p>
    <w:p>
      <w:pPr>
        <w:spacing w:after="20" w:before="20"/>
        <w:ind w:left="400"/>
      </w:pPr>
      <w:hyperlink w:history="1" w:anchor="_h102">
        <w:r>
          <w:rPr>
            <w:b w:val="false"/>
            <w:bCs w:val="false"/>
            <w:color w:val="6B6B80"/>
            <w:sz w:val="21"/>
            <w:szCs w:val="21"/>
          </w:rPr>
          <w:t xml:space="preserve">10.2 Fallos y deuda conocidos</w:t>
        </w:r>
      </w:hyperlink>
    </w:p>
    <w:p>
      <w:pPr>
        <w:spacing w:after="20" w:before="20"/>
        <w:ind w:left="400"/>
      </w:pPr>
      <w:hyperlink w:history="1" w:anchor="_h103">
        <w:r>
          <w:rPr>
            <w:b w:val="false"/>
            <w:bCs w:val="false"/>
            <w:color w:val="6B6B80"/>
            <w:sz w:val="21"/>
            <w:szCs w:val="21"/>
          </w:rPr>
          <w:t xml:space="preserve">10.3 Siguientes funcionalidades</w:t>
        </w:r>
      </w:hyperlink>
    </w:p>
    <w:p>
      <w:pPr>
        <w:spacing w:after="20" w:before="20"/>
        <w:ind w:left="400"/>
      </w:pPr>
      <w:hyperlink w:history="1" w:anchor="_h104">
        <w:r>
          <w:rPr>
            <w:b w:val="false"/>
            <w:bCs w:val="false"/>
            <w:color w:val="6B6B80"/>
            <w:sz w:val="21"/>
            <w:szCs w:val="21"/>
          </w:rPr>
          <w:t xml:space="preserve">10.4 Descartado por ahora</w:t>
        </w:r>
      </w:hyperlink>
    </w:p>
    <w:p>
      <w:pPr>
        <w:spacing w:after="20" w:before="20"/>
        <w:ind w:left="400"/>
      </w:pPr>
      <w:hyperlink w:history="1" w:anchor="_h105">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mnron-hg2zhl-aplm9so9">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escriben en Markdown; la API los guarda tal cual y la web los muestra limpiando el HTML (DOMPurify).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rgak3byxxtiwjfh_v9bwq">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bjwdyta_tlelfjreoercx">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0" w:id="100"/>
      <w:r>
        <w:t xml:space="preserve">10. Lo que queda</w:t>
      </w:r>
      <w:bookmarkEnd w:id="10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1" w:id="101"/>
      <w:r>
        <w:t xml:space="preserve">10.1 Para dar el producto por terminado</w:t>
      </w:r>
      <w:bookmarkEnd w:id="10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2" w:id="102"/>
      <w:r>
        <w:t xml:space="preserve">10.2 Fallos y deuda conocidos</w:t>
      </w:r>
      <w:bookmarkEnd w:id="10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Tamaño de la web</w:t>
      </w:r>
      <w:r>
        <w:t xml:space="preserve">: el paquete inicial supera en ~130 kB el aviso de 2 MB. La causa es </w:t>
      </w:r>
      <w:r>
        <w:rPr>
          <w:rFonts w:ascii="Consolas" w:cs="Consolas" w:eastAsia="Consolas" w:hAnsi="Consolas"/>
          <w:color w:val="7B2FBF"/>
          <w:sz w:val="18"/>
          <w:szCs w:val="18"/>
          <w:shd w:fill="F3E8FD" w:color="auto" w:val="clear"/>
        </w:rPr>
        <w:t xml:space="preserve">@pi/ui</w:t>
      </w:r>
      <w:r>
        <w:t xml:space="preserve">: su paquete (un solo </w:t>
      </w:r>
      <w:r>
        <w:rPr>
          <w:rFonts w:ascii="Consolas" w:cs="Consolas" w:eastAsia="Consolas" w:hAnsi="Consolas"/>
          <w:color w:val="7B2FBF"/>
          <w:sz w:val="18"/>
          <w:szCs w:val="18"/>
          <w:shd w:fill="F3E8FD" w:color="auto" w:val="clear"/>
        </w:rPr>
        <w:t xml:space="preserve">fesm</w:t>
      </w:r>
      <w:r>
        <w:t xml:space="preserve">) importa </w:t>
      </w:r>
      <w:r>
        <w:rPr>
          <w:rFonts w:ascii="Consolas" w:cs="Consolas" w:eastAsia="Consolas" w:hAnsi="Consolas"/>
          <w:color w:val="7B2FBF"/>
          <w:sz w:val="18"/>
          <w:szCs w:val="18"/>
          <w:shd w:fill="F3E8FD" w:color="auto" w:val="clear"/>
        </w:rPr>
        <w:t xml:space="preserve">chart.js</w:t>
      </w:r>
      <w:r>
        <w:t xml:space="preserve"> al cargar, aunque solo lo usan las gráficas de analítica. Se arregla en la librería, con un punto de entrada aparte para las gráficas (</w:t>
      </w:r>
      <w:r>
        <w:rPr>
          <w:rFonts w:ascii="Consolas" w:cs="Consolas" w:eastAsia="Consolas" w:hAnsi="Consolas"/>
          <w:color w:val="7B2FBF"/>
          <w:sz w:val="18"/>
          <w:szCs w:val="18"/>
          <w:shd w:fill="F3E8FD" w:color="auto" w:val="clear"/>
        </w:rPr>
        <w:t xml:space="preserve">@pi/ui/charts</w:t>
      </w:r>
      <w:r>
        <w:t xml:space="preserve">) o cargando </w:t>
      </w:r>
      <w:r>
        <w:rPr>
          <w:rFonts w:ascii="Consolas" w:cs="Consolas" w:eastAsia="Consolas" w:hAnsi="Consolas"/>
          <w:color w:val="7B2FBF"/>
          <w:sz w:val="18"/>
          <w:szCs w:val="18"/>
          <w:shd w:fill="F3E8FD" w:color="auto" w:val="clear"/>
        </w:rPr>
        <w:t xml:space="preserve">chart.js</w:t>
      </w:r>
      <w:r>
        <w:t xml:space="preserve"> bajo demanda.</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3" w:id="103"/>
      <w:r>
        <w:t xml:space="preserve">10.3 Siguientes funcionalidades</w:t>
      </w:r>
      <w:bookmarkEnd w:id="103"/>
    </w:p>
    <w:p>
      <w:r>
        <w:t xml:space="preserve">En orden de lo que más aportaría:</w:t>
      </w:r>
    </w:p>
    <w:p>
      <w:pPr>
        <w:pStyle w:val="ListParagraph"/>
        <w:numPr>
          <w:ilvl w:val="0"/>
          <w:numId w:val="3"/>
        </w:numPr>
        <w:spacing w:after="60"/>
      </w:pPr>
      <w:r>
        <w:rPr>
          <w:b/>
          <w:bCs/>
        </w:rPr>
        <w:t xml:space="preserve">Asistente en la web</w:t>
      </w:r>
      <w:r>
        <w:t xml:space="preserve"> (la base ya está en el MCP):</w:t>
      </w:r>
    </w:p>
    <w:p>
      <w:pPr>
        <w:pStyle w:val="ListParagraph"/>
        <w:numPr>
          <w:ilvl w:val="1"/>
          <w:numId w:val="2"/>
        </w:numPr>
        <w:spacing w:after="60"/>
      </w:pPr>
      <w:r>
        <w:t xml:space="preserve">resumir un ticket largo con sus comentarios;</w:t>
      </w:r>
    </w:p>
    <w:p>
      <w:pPr>
        <w:pStyle w:val="ListParagraph"/>
        <w:numPr>
          <w:ilvl w:val="1"/>
          <w:numId w:val="2"/>
        </w:numPr>
        <w:spacing w:after="60"/>
      </w:pPr>
      <w:r>
        <w:t xml:space="preserve">al crear un ticket, sugerir tipo, prioridad y área, y avisar si se parece a otro que ya existe;</w:t>
      </w:r>
    </w:p>
    <w:p>
      <w:pPr>
        <w:pStyle w:val="ListParagraph"/>
        <w:numPr>
          <w:ilvl w:val="1"/>
          <w:numId w:val="2"/>
        </w:numPr>
        <w:spacing w:after="60"/>
      </w:pPr>
      <w:r>
        <w:t xml:space="preserve">redactar las notas de versión en lenguaje natural a partir del borrador.</w:t>
      </w:r>
    </w:p>
    <w:p>
      <w:pPr>
        <w:pStyle w:val="ListParagraph"/>
        <w:numPr>
          <w:ilvl w:val="0"/>
          <w:numId w:val="3"/>
        </w:numPr>
        <w:spacing w:after="60"/>
      </w:pPr>
      <w:r>
        <w:rPr>
          <w:b/>
          <w:bCs/>
        </w:rPr>
        <w:t xml:space="preserve">Propuestas y votos en la web pública</w:t>
      </w:r>
      <w:r>
        <w:t xml:space="preserve"> (la landing): el escaparate ya trae </w:t>
      </w:r>
      <w:r>
        <w:rPr>
          <w:rFonts w:ascii="Consolas" w:cs="Consolas" w:eastAsia="Consolas" w:hAnsi="Consolas"/>
          <w:color w:val="7B2FBF"/>
          <w:sz w:val="18"/>
          <w:szCs w:val="18"/>
          <w:shd w:fill="F3E8FD" w:color="auto" w:val="clear"/>
        </w:rPr>
        <w:t xml:space="preserve">proposals</w:t>
      </w:r>
      <w:r>
        <w:t xml:space="preserve"> (si acepta, dónde está el formulario y las más votadas) y los votos de la hoja de ruta; falta mostrarlos.</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pStyle w:val="ListParagraph"/>
        <w:numPr>
          <w:ilvl w:val="0"/>
          <w:numId w:val="3"/>
        </w:numPr>
        <w:spacing w:after="60"/>
      </w:pPr>
      <w:r>
        <w:rPr>
          <w:b/>
          <w:bCs/>
        </w:rPr>
        <w:t xml:space="preserve">Proyectos de la landing que ya existen</w:t>
      </w:r>
      <w:r>
        <w:t xml:space="preserve">: hoy el tablero en TaskStream solo se abre al crear el proyecto; poder abrirlo después desde el panel.</w:t>
      </w:r>
    </w:p>
    <w:p>
      <w:pPr>
        <w:spacing w:after="60"/>
      </w:pPr>
    </w:p>
    <w:p>
      <w:pPr>
        <w:pStyle w:val="Heading2"/>
      </w:pPr>
      <w:bookmarkStart w:name="_h104" w:id="104"/>
      <w:r>
        <w:t xml:space="preserve">10.4 Descartado por ahora</w:t>
      </w:r>
      <w:bookmarkEnd w:id="104"/>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05" w:id="105"/>
      <w:r>
        <w:t xml:space="preserve">10.5 Hecho desde la primera versión de esta lista</w:t>
      </w:r>
      <w:bookmarkEnd w:id="105"/>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spacing w:after="60"/>
      </w:pPr>
    </w:p>
    <w:p>
      <w:pPr>
        <w:pStyle w:val="Heading1"/>
        <w:pageBreakBefore/>
      </w:pPr>
      <w:bookmarkStart w:name="_annex" w:id="106"/>
      <w:r>
        <w:t xml:space="preserve">Anexo A. Librerías</w:t>
      </w:r>
      <w:bookmarkEnd w:id="106"/>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mnron-hg2zhl-aplm9so9" Type="http://schemas.openxmlformats.org/officeDocument/2006/relationships/hyperlink" Target="https://oauth.pireon.dev/api/documentation" TargetMode="External"/><Relationship Id="rIdrgak3byxxtiwjfh_v9bwq" Type="http://schemas.openxmlformats.org/officeDocument/2006/relationships/hyperlink" Target="https://modelcontextprotocol.io" TargetMode="External"/><Relationship Id="rIdbjwdyta_tlelfjreoercx" Type="http://schemas.openxmlformats.org/officeDocument/2006/relationships/hyperlink" Target="https://www.npmjs.com/package/@nestjs-mcp/server" TargetMode="External"/><Relationship Id="rId22" Type="http://schemas.openxmlformats.org/officeDocument/2006/relationships/image" Target="media/3f2a6289f1870730d2c74a5bcf1b4ac498fa3a23.png"/><Relationship Id="rId23" Type="http://schemas.openxmlformats.org/officeDocument/2006/relationships/image" Target="media/2c30ba28e74320559df64afebbd3c43d83b4b7cf.png"/><Relationship Id="rId24" Type="http://schemas.openxmlformats.org/officeDocument/2006/relationships/image" Target="media/6e472c024ba78e636e7bef45424b0d54aee3783f.png"/><Relationship Id="rId25" Type="http://schemas.openxmlformats.org/officeDocument/2006/relationships/image" Target="media/3cc040da0f6eae1febad92da280f49ab94186e99.png"/><Relationship Id="rId26" Type="http://schemas.openxmlformats.org/officeDocument/2006/relationships/image" Target="media/cdced2dfd2f3c8bfe9ca30da289db6016dbc1eff.png"/><Relationship Id="rId27" Type="http://schemas.openxmlformats.org/officeDocument/2006/relationships/image" Target="media/30afa91f36dc26a2b9132c37b3e9496b2a29147f.png"/><Relationship Id="rId28" Type="http://schemas.openxmlformats.org/officeDocument/2006/relationships/image" Target="media/7c18abf8026afa0241286bee5bf00acbe15c9f75.png"/><Relationship Id="rId29"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2026-10-12T17:49:25.380Z</dcterms:created>
  <dcterms:modified xsi:type="dcterms:W3CDTF">2026-10-12T17:49:25.385Z</dcterms:modified>
</cp:coreProperties>
</file>

<file path=docProps/custom.xml><?xml version="1.0" encoding="utf-8"?>
<Properties xmlns="http://schemas.openxmlformats.org/officeDocument/2006/custom-properties" xmlns:vt="http://schemas.openxmlformats.org/officeDocument/2006/docPropsVTypes"/>
</file>